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336928EA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54923604" w14:textId="77777777" w:rsidR="00CA523A" w:rsidRDefault="00CA523A" w:rsidP="002051D2">
      <w:pPr>
        <w:spacing w:after="0" w:line="240" w:lineRule="auto"/>
        <w:jc w:val="both"/>
      </w:pP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6863CD90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de </w:t>
      </w:r>
      <w:r w:rsidR="00943A11">
        <w:t>Cressin-Rochefort</w:t>
      </w:r>
      <w:r w:rsidR="0094564C">
        <w:t xml:space="preserve"> (Ain) dans le cadre d’un renouvellement de titre d’occupation, d’un terrain situé en rive gauche du Rhône, à proximité du PK 127.500 d’une superficie d’environ 250m², </w:t>
      </w:r>
      <w:r w:rsidR="00407DF1">
        <w:t xml:space="preserve">dépendant du domaine </w:t>
      </w:r>
      <w:r w:rsidR="00407DF1" w:rsidRPr="00C73B11">
        <w:rPr>
          <w:b/>
          <w:bCs/>
        </w:rPr>
        <w:t>pu</w:t>
      </w:r>
      <w:r w:rsidR="00C3631D" w:rsidRPr="00C73B11">
        <w:rPr>
          <w:b/>
          <w:bCs/>
        </w:rPr>
        <w:t>b</w:t>
      </w:r>
      <w:r w:rsidR="00407DF1" w:rsidRPr="00C73B11">
        <w:rPr>
          <w:b/>
          <w:bCs/>
        </w:rPr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 xml:space="preserve">figurant sur la vue aérienne de situation </w:t>
      </w:r>
      <w:r w:rsidR="00936459">
        <w:t xml:space="preserve">figurant </w:t>
      </w:r>
      <w:r w:rsidR="004E2107">
        <w:t>ci-après</w:t>
      </w:r>
      <w:r>
        <w:t>.</w:t>
      </w:r>
    </w:p>
    <w:p w14:paraId="2B8C2A1B" w14:textId="77777777" w:rsidR="0094564C" w:rsidRDefault="0094564C" w:rsidP="002051D2">
      <w:pPr>
        <w:spacing w:after="0" w:line="240" w:lineRule="auto"/>
        <w:jc w:val="both"/>
      </w:pPr>
    </w:p>
    <w:p w14:paraId="134FEAE0" w14:textId="77777777" w:rsidR="006C3F44" w:rsidRDefault="006C3F44" w:rsidP="002051D2">
      <w:pPr>
        <w:spacing w:after="0" w:line="240" w:lineRule="auto"/>
        <w:jc w:val="both"/>
      </w:pPr>
    </w:p>
    <w:p w14:paraId="712DC3C0" w14:textId="293A0BE7" w:rsidR="006C3F44" w:rsidRDefault="006C3F44" w:rsidP="006C3F44">
      <w:pPr>
        <w:spacing w:after="0" w:line="240" w:lineRule="auto"/>
        <w:jc w:val="center"/>
      </w:pPr>
      <w:r w:rsidRPr="0012075D">
        <w:rPr>
          <w:noProof/>
        </w:rPr>
        <w:drawing>
          <wp:inline distT="0" distB="0" distL="0" distR="0" wp14:anchorId="32E7636D" wp14:editId="6228CAF7">
            <wp:extent cx="3218990" cy="2789793"/>
            <wp:effectExtent l="0" t="0" r="635" b="0"/>
            <wp:docPr id="1744204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045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2273" cy="28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F7E38" w14:textId="77777777" w:rsidR="006C3F44" w:rsidRDefault="006C3F44" w:rsidP="002051D2">
      <w:pPr>
        <w:spacing w:after="0" w:line="240" w:lineRule="auto"/>
        <w:jc w:val="both"/>
      </w:pPr>
    </w:p>
    <w:p w14:paraId="6B85F124" w14:textId="77777777" w:rsidR="004B6B2C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  <w:r w:rsidR="006C3F44">
        <w:t xml:space="preserve"> </w:t>
      </w:r>
    </w:p>
    <w:p w14:paraId="081DB04F" w14:textId="44758541" w:rsidR="00C73B11" w:rsidRP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1D2492AD" w14:textId="77777777" w:rsidR="005762FB" w:rsidRDefault="005762FB" w:rsidP="002051D2">
      <w:pPr>
        <w:spacing w:after="0" w:line="240" w:lineRule="auto"/>
        <w:jc w:val="both"/>
      </w:pPr>
    </w:p>
    <w:p w14:paraId="23A7828C" w14:textId="280F596C" w:rsidR="00751173" w:rsidRDefault="00355BAA" w:rsidP="00751173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033BBFAD" w14:textId="77777777" w:rsidR="00D56B7C" w:rsidRDefault="00D56B7C" w:rsidP="00751173">
      <w:pPr>
        <w:spacing w:after="0" w:line="240" w:lineRule="auto"/>
        <w:jc w:val="both"/>
      </w:pPr>
    </w:p>
    <w:p w14:paraId="3D61FFB0" w14:textId="77777777" w:rsidR="00A72C6E" w:rsidRDefault="00A72C6E" w:rsidP="002051D2">
      <w:pPr>
        <w:spacing w:after="0" w:line="240" w:lineRule="auto"/>
        <w:jc w:val="both"/>
      </w:pPr>
    </w:p>
    <w:p w14:paraId="3DBBA4F0" w14:textId="77777777" w:rsidR="004A4419" w:rsidRDefault="004A4419" w:rsidP="004A4419">
      <w:pPr>
        <w:spacing w:after="0" w:line="240" w:lineRule="auto"/>
        <w:jc w:val="both"/>
        <w:rPr>
          <w:rFonts w:cstheme="minorHAnsi"/>
          <w:b/>
          <w:i/>
          <w:smallCaps/>
        </w:rPr>
      </w:pPr>
      <w:r>
        <w:rPr>
          <w:rFonts w:cstheme="minorHAnsi"/>
          <w:b/>
          <w:i/>
          <w:smallCaps/>
          <w:u w:val="single"/>
        </w:rPr>
        <w:t>Titre d’occupation en cours</w:t>
      </w:r>
      <w:r w:rsidRPr="0087684B">
        <w:rPr>
          <w:rFonts w:cstheme="minorHAnsi"/>
          <w:b/>
          <w:i/>
          <w:smallCaps/>
        </w:rPr>
        <w:t> :</w:t>
      </w:r>
    </w:p>
    <w:p w14:paraId="62B36267" w14:textId="581C0DA5" w:rsidR="004A4419" w:rsidRDefault="004A4419" w:rsidP="004A441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Les lieux objet du présent appel à manifestation d’intérêt sont actuellement occupés dans le cadre d’une convention d’occupation en cours dont l’expiration est prévue au </w:t>
      </w:r>
      <w:r w:rsidR="0012075D">
        <w:rPr>
          <w:rFonts w:cstheme="minorHAnsi"/>
        </w:rPr>
        <w:t>31 décembre 2025</w:t>
      </w:r>
      <w:r>
        <w:rPr>
          <w:rFonts w:cstheme="minorHAnsi"/>
        </w:rPr>
        <w:t>.</w:t>
      </w:r>
    </w:p>
    <w:p w14:paraId="012F7658" w14:textId="77777777" w:rsidR="004A4419" w:rsidRDefault="004A4419" w:rsidP="00AE26BE">
      <w:pPr>
        <w:spacing w:after="0" w:line="240" w:lineRule="auto"/>
        <w:jc w:val="both"/>
      </w:pPr>
    </w:p>
    <w:p w14:paraId="280B09B0" w14:textId="77777777" w:rsidR="009014EE" w:rsidRDefault="009014EE" w:rsidP="002051D2">
      <w:pPr>
        <w:spacing w:after="0" w:line="240" w:lineRule="auto"/>
        <w:jc w:val="both"/>
      </w:pPr>
    </w:p>
    <w:p w14:paraId="2C6D3414" w14:textId="7FBB514F" w:rsidR="007D2A30" w:rsidRDefault="002051D2" w:rsidP="007D2A30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</w:t>
      </w:r>
      <w:r w:rsidRPr="0012075D">
        <w:rPr>
          <w:b/>
          <w:bCs/>
        </w:rPr>
        <w:t xml:space="preserve">le </w:t>
      </w:r>
      <w:r w:rsidR="0012075D" w:rsidRPr="0012075D">
        <w:rPr>
          <w:b/>
          <w:bCs/>
        </w:rPr>
        <w:t>10 novembre à 17h</w:t>
      </w:r>
      <w:r w:rsidR="0012075D">
        <w:rPr>
          <w:b/>
          <w:bCs/>
        </w:rPr>
        <w:t xml:space="preserve"> </w:t>
      </w:r>
      <w:r>
        <w:t xml:space="preserve">est à réclamer </w:t>
      </w:r>
      <w:r w:rsidR="00D658B7">
        <w:t xml:space="preserve">par les personnes intéressées </w:t>
      </w:r>
      <w:r>
        <w:t>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 </w:t>
      </w:r>
      <w:r w:rsidR="0012075D" w:rsidRPr="0012075D">
        <w:rPr>
          <w:b/>
          <w:bCs/>
        </w:rPr>
        <w:t>6113</w:t>
      </w:r>
      <w:r w:rsidR="0012075D">
        <w:rPr>
          <w:b/>
          <w:bCs/>
        </w:rPr>
        <w:t xml:space="preserve"> </w:t>
      </w:r>
      <w:r w:rsidR="007D2A30">
        <w:t>:</w:t>
      </w:r>
    </w:p>
    <w:p w14:paraId="7473B981" w14:textId="2F30D664" w:rsidR="007D2A30" w:rsidRDefault="0012075D" w:rsidP="007D2A30">
      <w:pPr>
        <w:pStyle w:val="Paragraphedeliste"/>
        <w:numPr>
          <w:ilvl w:val="0"/>
          <w:numId w:val="1"/>
        </w:numPr>
        <w:jc w:val="both"/>
      </w:pPr>
      <w:proofErr w:type="gramStart"/>
      <w:r>
        <w:t>cnr.belley</w:t>
      </w:r>
      <w:proofErr w:type="gramEnd"/>
      <w:r w:rsidR="00485406">
        <w:fldChar w:fldCharType="begin"/>
      </w:r>
      <w:r w:rsidR="00485406">
        <w:instrText>HYPERLINK "mailto:"</w:instrText>
      </w:r>
      <w:r w:rsidR="00485406">
        <w:fldChar w:fldCharType="separate"/>
      </w:r>
      <w:r w:rsidR="007D2A30" w:rsidRPr="00307E34">
        <w:rPr>
          <w:rStyle w:val="Lienhypertexte"/>
        </w:rPr>
        <w:t>@cnr.tm.fr</w:t>
      </w:r>
      <w:r w:rsidR="00485406">
        <w:rPr>
          <w:rStyle w:val="Lienhypertexte"/>
        </w:rPr>
        <w:fldChar w:fldCharType="end"/>
      </w:r>
      <w:r w:rsidR="007D2A30">
        <w:t>,</w:t>
      </w:r>
    </w:p>
    <w:p w14:paraId="16A08CB1" w14:textId="390BC8F3" w:rsidR="007D2A30" w:rsidRPr="00E40742" w:rsidRDefault="007D2A30" w:rsidP="007D2A30">
      <w:pPr>
        <w:pStyle w:val="Paragraphedeliste"/>
        <w:numPr>
          <w:ilvl w:val="0"/>
          <w:numId w:val="1"/>
        </w:numPr>
        <w:jc w:val="both"/>
      </w:pPr>
      <w:r w:rsidRPr="0012075D">
        <w:rPr>
          <w:b/>
          <w:bCs/>
        </w:rPr>
        <w:t>OU</w:t>
      </w:r>
      <w:r>
        <w:t xml:space="preserve"> </w:t>
      </w:r>
      <w:r w:rsidRPr="00954627">
        <w:rPr>
          <w:i/>
        </w:rPr>
        <w:t xml:space="preserve">Direction </w:t>
      </w:r>
      <w:r w:rsidR="0012075D">
        <w:rPr>
          <w:i/>
        </w:rPr>
        <w:t xml:space="preserve">des </w:t>
      </w:r>
      <w:proofErr w:type="spellStart"/>
      <w:r w:rsidR="0012075D">
        <w:rPr>
          <w:i/>
        </w:rPr>
        <w:t>Terriroires</w:t>
      </w:r>
      <w:proofErr w:type="spellEnd"/>
      <w:r w:rsidR="0012075D">
        <w:rPr>
          <w:i/>
        </w:rPr>
        <w:t xml:space="preserve"> périmètre Haut- </w:t>
      </w:r>
      <w:proofErr w:type="spellStart"/>
      <w:proofErr w:type="gramStart"/>
      <w:r w:rsidR="0012075D">
        <w:rPr>
          <w:i/>
        </w:rPr>
        <w:t>Rhône</w:t>
      </w:r>
      <w:r w:rsidRPr="00954627">
        <w:rPr>
          <w:rFonts w:ascii="Times New Roman" w:hAnsi="Times New Roman" w:cs="Times New Roman"/>
          <w:i/>
          <w:iCs/>
        </w:rPr>
        <w:t>Territoriale</w:t>
      </w:r>
      <w:proofErr w:type="spellEnd"/>
      <w:r w:rsidRPr="00954627">
        <w:rPr>
          <w:rFonts w:ascii="Times New Roman" w:hAnsi="Times New Roman" w:cs="Times New Roman"/>
          <w:i/>
          <w:iCs/>
        </w:rPr>
        <w:t xml:space="preserve">  -</w:t>
      </w:r>
      <w:proofErr w:type="gramEnd"/>
      <w:r w:rsidRPr="00954627">
        <w:rPr>
          <w:rFonts w:ascii="Times New Roman" w:hAnsi="Times New Roman" w:cs="Times New Roman"/>
          <w:i/>
          <w:iCs/>
        </w:rPr>
        <w:t xml:space="preserve"> Département domanial </w:t>
      </w:r>
      <w:r w:rsidR="0012075D">
        <w:rPr>
          <w:rFonts w:ascii="Times New Roman" w:hAnsi="Times New Roman" w:cs="Times New Roman"/>
          <w:i/>
          <w:iCs/>
        </w:rPr>
        <w:t>–</w:t>
      </w:r>
      <w:r w:rsidRPr="00FD3FA5">
        <w:rPr>
          <w:rFonts w:ascii="Times New Roman" w:hAnsi="Times New Roman" w:cs="Times New Roman"/>
          <w:iCs/>
        </w:rPr>
        <w:t xml:space="preserve"> </w:t>
      </w:r>
      <w:r w:rsidR="0012075D">
        <w:rPr>
          <w:rFonts w:ascii="Times New Roman" w:hAnsi="Times New Roman" w:cs="Times New Roman"/>
          <w:iCs/>
        </w:rPr>
        <w:t>Chemin des Soupirs 01300 Belley</w:t>
      </w:r>
      <w:r>
        <w:rPr>
          <w:rFonts w:ascii="Times New Roman" w:hAnsi="Times New Roman" w:cs="Times New Roman"/>
          <w:iCs/>
        </w:rPr>
        <w:t>.</w:t>
      </w:r>
    </w:p>
    <w:p w14:paraId="1D50226E" w14:textId="77777777" w:rsidR="00E40742" w:rsidRDefault="00E40742" w:rsidP="007D2A30">
      <w:pPr>
        <w:pStyle w:val="Paragraphedeliste"/>
        <w:numPr>
          <w:ilvl w:val="0"/>
          <w:numId w:val="1"/>
        </w:numPr>
        <w:jc w:val="both"/>
      </w:pPr>
    </w:p>
    <w:p w14:paraId="077E3337" w14:textId="553B5644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6F132AE" w14:textId="77777777" w:rsidR="008E66A8" w:rsidRDefault="008E66A8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4301656" w14:textId="77777777" w:rsidR="00273D29" w:rsidRDefault="00273D29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5993075C" w14:textId="77777777" w:rsidR="00E40742" w:rsidRDefault="00E40742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F37DAF7" w14:textId="77777777" w:rsidR="00C622D3" w:rsidRPr="00594BAE" w:rsidRDefault="00C622D3" w:rsidP="00C622D3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594BAE">
        <w:rPr>
          <w:rFonts w:ascii="Arial" w:hAnsi="Arial" w:cs="Arial"/>
          <w:i/>
          <w:iCs/>
          <w:u w:val="single"/>
        </w:rPr>
        <w:t>Demande de substitution</w:t>
      </w:r>
      <w:r w:rsidRPr="00594BAE">
        <w:rPr>
          <w:rFonts w:ascii="Arial" w:hAnsi="Arial" w:cs="Arial"/>
          <w:i/>
          <w:iCs/>
        </w:rPr>
        <w:t> :</w:t>
      </w:r>
    </w:p>
    <w:p w14:paraId="0CD7F619" w14:textId="0A7359B5" w:rsidR="00C622D3" w:rsidRPr="00594BAE" w:rsidRDefault="00C622D3" w:rsidP="00273D29">
      <w:pPr>
        <w:spacing w:after="0" w:line="240" w:lineRule="auto"/>
        <w:jc w:val="both"/>
        <w:rPr>
          <w:rFonts w:cstheme="minorHAnsi"/>
        </w:rPr>
      </w:pPr>
      <w:r w:rsidRPr="00594BAE">
        <w:rPr>
          <w:rFonts w:cstheme="minorHAnsi"/>
        </w:rPr>
        <w:t xml:space="preserve">Le candidat sélectionné pourra solliciter l’accord écrit de CNR en vue de substituer une autre entité dans le bénéfice de </w:t>
      </w:r>
      <w:r w:rsidR="00273D29" w:rsidRPr="00594BAE">
        <w:rPr>
          <w:rFonts w:cstheme="minorHAnsi"/>
        </w:rPr>
        <w:t>sa</w:t>
      </w:r>
      <w:r w:rsidRPr="00594BAE">
        <w:rPr>
          <w:rFonts w:cstheme="minorHAnsi"/>
        </w:rPr>
        <w:t xml:space="preserve"> sélection, ceci uniquement si cette entité :</w:t>
      </w:r>
    </w:p>
    <w:p w14:paraId="5408D1AE" w14:textId="77777777" w:rsidR="00C622D3" w:rsidRPr="00594BAE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proofErr w:type="gramStart"/>
      <w:r w:rsidRPr="00594BAE">
        <w:rPr>
          <w:rFonts w:asciiTheme="minorHAnsi" w:hAnsiTheme="minorHAnsi" w:cstheme="minorHAnsi"/>
        </w:rPr>
        <w:t>est</w:t>
      </w:r>
      <w:proofErr w:type="gramEnd"/>
      <w:r w:rsidRPr="00594BAE">
        <w:rPr>
          <w:rFonts w:asciiTheme="minorHAnsi" w:hAnsiTheme="minorHAnsi" w:cstheme="minorHAnsi"/>
        </w:rPr>
        <w:t xml:space="preserve"> contrôlée par lui au sens de l’article L233-3 du code du commerce,</w:t>
      </w:r>
    </w:p>
    <w:p w14:paraId="7160EDAE" w14:textId="77777777" w:rsidR="00C622D3" w:rsidRPr="00594BAE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proofErr w:type="spellStart"/>
      <w:proofErr w:type="gramStart"/>
      <w:r w:rsidRPr="00594BAE">
        <w:rPr>
          <w:rFonts w:asciiTheme="minorHAnsi" w:hAnsiTheme="minorHAnsi" w:cstheme="minorHAnsi"/>
        </w:rPr>
        <w:t>ou</w:t>
      </w:r>
      <w:proofErr w:type="spellEnd"/>
      <w:proofErr w:type="gramEnd"/>
      <w:r w:rsidRPr="00594BAE">
        <w:rPr>
          <w:rFonts w:asciiTheme="minorHAnsi" w:hAnsiTheme="minorHAnsi" w:cstheme="minorHAnsi"/>
        </w:rPr>
        <w:t xml:space="preserve"> est l’un des membres du groupement ayant été sélectionné,</w:t>
      </w:r>
    </w:p>
    <w:p w14:paraId="2E8B1483" w14:textId="77777777" w:rsidR="00C622D3" w:rsidRPr="00594BAE" w:rsidRDefault="00C622D3" w:rsidP="00C622D3">
      <w:pPr>
        <w:pStyle w:val="Retrait1"/>
        <w:numPr>
          <w:ilvl w:val="0"/>
          <w:numId w:val="3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proofErr w:type="gramStart"/>
      <w:r w:rsidRPr="00594BAE">
        <w:rPr>
          <w:rFonts w:asciiTheme="minorHAnsi" w:hAnsiTheme="minorHAnsi" w:cstheme="minorHAnsi"/>
        </w:rPr>
        <w:t>ou</w:t>
      </w:r>
      <w:proofErr w:type="gramEnd"/>
      <w:r w:rsidRPr="00594BAE">
        <w:rPr>
          <w:rFonts w:asciiTheme="minorHAnsi" w:hAnsiTheme="minorHAnsi" w:cstheme="minorHAnsi"/>
        </w:rPr>
        <w:t xml:space="preserve"> est contrôlée, au sens de l’article L233-3 du code du commerce, par un ou plusieurs membres du groupement ayant été sélectionné.</w:t>
      </w:r>
    </w:p>
    <w:p w14:paraId="289EB970" w14:textId="5DE2B24C" w:rsidR="00C622D3" w:rsidRPr="00594BAE" w:rsidRDefault="00C622D3" w:rsidP="00273D29">
      <w:pPr>
        <w:spacing w:after="0" w:line="240" w:lineRule="auto"/>
        <w:jc w:val="both"/>
        <w:rPr>
          <w:rFonts w:cstheme="minorHAnsi"/>
        </w:rPr>
      </w:pPr>
      <w:r w:rsidRPr="00594BAE">
        <w:rPr>
          <w:rFonts w:cstheme="minorHAnsi"/>
        </w:rPr>
        <w:t>Ladite entité devra reprendre strictement le même projet et les mêmes engagements que le candidat sollicitant la substitution.</w:t>
      </w:r>
    </w:p>
    <w:p w14:paraId="6C3CBAFA" w14:textId="77777777" w:rsidR="00C622D3" w:rsidRPr="00273D29" w:rsidRDefault="00C622D3" w:rsidP="00273D29">
      <w:pPr>
        <w:spacing w:after="0" w:line="240" w:lineRule="auto"/>
        <w:jc w:val="both"/>
        <w:rPr>
          <w:rFonts w:cstheme="minorHAnsi"/>
        </w:rPr>
      </w:pPr>
      <w:r w:rsidRPr="00594BAE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1CDDAE1D" w14:textId="77777777" w:rsidR="006B071C" w:rsidRPr="00D84FE8" w:rsidRDefault="006B071C" w:rsidP="007D2A30">
      <w:pPr>
        <w:spacing w:after="0" w:line="240" w:lineRule="auto"/>
        <w:jc w:val="both"/>
        <w:rPr>
          <w:rFonts w:cstheme="minorHAnsi"/>
        </w:rPr>
      </w:pP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F1DB" w14:textId="77777777" w:rsidR="00485406" w:rsidRDefault="00485406" w:rsidP="00711630">
      <w:pPr>
        <w:spacing w:after="0" w:line="240" w:lineRule="auto"/>
      </w:pPr>
      <w:r>
        <w:separator/>
      </w:r>
    </w:p>
  </w:endnote>
  <w:endnote w:type="continuationSeparator" w:id="0">
    <w:p w14:paraId="4FCF4C72" w14:textId="77777777" w:rsidR="00485406" w:rsidRDefault="00485406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806F" w14:textId="77777777" w:rsidR="00485406" w:rsidRDefault="00485406" w:rsidP="00711630">
      <w:pPr>
        <w:spacing w:after="0" w:line="240" w:lineRule="auto"/>
      </w:pPr>
      <w:r>
        <w:separator/>
      </w:r>
    </w:p>
  </w:footnote>
  <w:footnote w:type="continuationSeparator" w:id="0">
    <w:p w14:paraId="2B2055F0" w14:textId="77777777" w:rsidR="00485406" w:rsidRDefault="00485406" w:rsidP="0071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42A77"/>
    <w:rsid w:val="00047E29"/>
    <w:rsid w:val="00065A52"/>
    <w:rsid w:val="00073CA3"/>
    <w:rsid w:val="00080212"/>
    <w:rsid w:val="000A3483"/>
    <w:rsid w:val="000A75B9"/>
    <w:rsid w:val="000A7EAD"/>
    <w:rsid w:val="000C57E3"/>
    <w:rsid w:val="000D7FD6"/>
    <w:rsid w:val="000F5847"/>
    <w:rsid w:val="000F5D94"/>
    <w:rsid w:val="00104998"/>
    <w:rsid w:val="00106844"/>
    <w:rsid w:val="00112D77"/>
    <w:rsid w:val="0012075D"/>
    <w:rsid w:val="00123129"/>
    <w:rsid w:val="00134C20"/>
    <w:rsid w:val="001612F1"/>
    <w:rsid w:val="00197B7B"/>
    <w:rsid w:val="001B0D95"/>
    <w:rsid w:val="001E0B75"/>
    <w:rsid w:val="001E52BC"/>
    <w:rsid w:val="001E6987"/>
    <w:rsid w:val="002051D2"/>
    <w:rsid w:val="002129CC"/>
    <w:rsid w:val="00251142"/>
    <w:rsid w:val="00253D67"/>
    <w:rsid w:val="00254D26"/>
    <w:rsid w:val="00273D29"/>
    <w:rsid w:val="002B06B4"/>
    <w:rsid w:val="002D00F0"/>
    <w:rsid w:val="002E2B13"/>
    <w:rsid w:val="002E4D3F"/>
    <w:rsid w:val="00303C26"/>
    <w:rsid w:val="00305690"/>
    <w:rsid w:val="00326DFF"/>
    <w:rsid w:val="00334311"/>
    <w:rsid w:val="0034361E"/>
    <w:rsid w:val="00352CB9"/>
    <w:rsid w:val="00355BAA"/>
    <w:rsid w:val="00356DF3"/>
    <w:rsid w:val="00364EF5"/>
    <w:rsid w:val="00376148"/>
    <w:rsid w:val="003815E9"/>
    <w:rsid w:val="00394D50"/>
    <w:rsid w:val="003B1B68"/>
    <w:rsid w:val="003B1FDD"/>
    <w:rsid w:val="003B2960"/>
    <w:rsid w:val="003C4C3C"/>
    <w:rsid w:val="00407DF1"/>
    <w:rsid w:val="00410232"/>
    <w:rsid w:val="00414B7A"/>
    <w:rsid w:val="0042032F"/>
    <w:rsid w:val="0042419D"/>
    <w:rsid w:val="004459EA"/>
    <w:rsid w:val="00446CA7"/>
    <w:rsid w:val="004710E2"/>
    <w:rsid w:val="00485156"/>
    <w:rsid w:val="00485406"/>
    <w:rsid w:val="004A4419"/>
    <w:rsid w:val="004B6B2C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94BAE"/>
    <w:rsid w:val="005B430B"/>
    <w:rsid w:val="005D082C"/>
    <w:rsid w:val="005E1A0E"/>
    <w:rsid w:val="005E1A3C"/>
    <w:rsid w:val="006056DA"/>
    <w:rsid w:val="00661D36"/>
    <w:rsid w:val="006770AD"/>
    <w:rsid w:val="006940FD"/>
    <w:rsid w:val="006B071C"/>
    <w:rsid w:val="006B6D37"/>
    <w:rsid w:val="006C3F44"/>
    <w:rsid w:val="006D1E50"/>
    <w:rsid w:val="006D421B"/>
    <w:rsid w:val="00711630"/>
    <w:rsid w:val="007165F7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126AB"/>
    <w:rsid w:val="00823CB8"/>
    <w:rsid w:val="00825143"/>
    <w:rsid w:val="00825FAE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43A11"/>
    <w:rsid w:val="00944AEC"/>
    <w:rsid w:val="0094564C"/>
    <w:rsid w:val="00952A27"/>
    <w:rsid w:val="00954627"/>
    <w:rsid w:val="00957600"/>
    <w:rsid w:val="0096761B"/>
    <w:rsid w:val="0098237B"/>
    <w:rsid w:val="00993C2C"/>
    <w:rsid w:val="009958AB"/>
    <w:rsid w:val="009A38DE"/>
    <w:rsid w:val="009C0E62"/>
    <w:rsid w:val="009D0D1D"/>
    <w:rsid w:val="009D4892"/>
    <w:rsid w:val="009D684E"/>
    <w:rsid w:val="00A2398B"/>
    <w:rsid w:val="00A2602C"/>
    <w:rsid w:val="00A3027E"/>
    <w:rsid w:val="00A417FD"/>
    <w:rsid w:val="00A56359"/>
    <w:rsid w:val="00A72C6E"/>
    <w:rsid w:val="00A73836"/>
    <w:rsid w:val="00A80EBA"/>
    <w:rsid w:val="00AA01DE"/>
    <w:rsid w:val="00AA1295"/>
    <w:rsid w:val="00AE26BE"/>
    <w:rsid w:val="00AE38DB"/>
    <w:rsid w:val="00B0708A"/>
    <w:rsid w:val="00B12E04"/>
    <w:rsid w:val="00B42B66"/>
    <w:rsid w:val="00B4539E"/>
    <w:rsid w:val="00B526C6"/>
    <w:rsid w:val="00B712AE"/>
    <w:rsid w:val="00B81F7E"/>
    <w:rsid w:val="00BA182F"/>
    <w:rsid w:val="00BB4AAA"/>
    <w:rsid w:val="00BC351D"/>
    <w:rsid w:val="00BF1B90"/>
    <w:rsid w:val="00C00E75"/>
    <w:rsid w:val="00C10FE9"/>
    <w:rsid w:val="00C15D52"/>
    <w:rsid w:val="00C34547"/>
    <w:rsid w:val="00C3631D"/>
    <w:rsid w:val="00C40861"/>
    <w:rsid w:val="00C43F58"/>
    <w:rsid w:val="00C44AFA"/>
    <w:rsid w:val="00C54A2D"/>
    <w:rsid w:val="00C57B0D"/>
    <w:rsid w:val="00C60169"/>
    <w:rsid w:val="00C622D3"/>
    <w:rsid w:val="00C73B11"/>
    <w:rsid w:val="00CA174E"/>
    <w:rsid w:val="00CA4BC3"/>
    <w:rsid w:val="00CA523A"/>
    <w:rsid w:val="00CA7C3C"/>
    <w:rsid w:val="00CB111E"/>
    <w:rsid w:val="00CB2F36"/>
    <w:rsid w:val="00CD1BC2"/>
    <w:rsid w:val="00CD7456"/>
    <w:rsid w:val="00CE683D"/>
    <w:rsid w:val="00CF77B8"/>
    <w:rsid w:val="00D00A94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6F74"/>
    <w:rsid w:val="00DF2E65"/>
    <w:rsid w:val="00E0372D"/>
    <w:rsid w:val="00E11F2C"/>
    <w:rsid w:val="00E40742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E0CEB"/>
    <w:rsid w:val="00EF7CC5"/>
    <w:rsid w:val="00F03D78"/>
    <w:rsid w:val="00F37E24"/>
    <w:rsid w:val="00F56727"/>
    <w:rsid w:val="00F620F8"/>
    <w:rsid w:val="00FA0AFA"/>
    <w:rsid w:val="00FC38BA"/>
    <w:rsid w:val="00FC5909"/>
    <w:rsid w:val="00FD2F1D"/>
    <w:rsid w:val="00FD3FA5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6DF6E-12E0-4080-B929-DA5D47116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6A966-AA80-4D2F-8676-DA42186A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335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MARIN Emilie</cp:lastModifiedBy>
  <cp:revision>6</cp:revision>
  <cp:lastPrinted>2025-10-15T14:20:00Z</cp:lastPrinted>
  <dcterms:created xsi:type="dcterms:W3CDTF">2025-10-15T09:10:00Z</dcterms:created>
  <dcterms:modified xsi:type="dcterms:W3CDTF">2025-10-17T14:27:00Z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